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olo11"/>
        <w:rPr>
          <w:rStyle w:val="Enfasiforte"/>
          <w:b w:val="false"/>
          <w:b w:val="false"/>
          <w:bCs w:val="false"/>
          <w:sz w:val="52"/>
          <w:highlight w:val="yellow"/>
        </w:rPr>
      </w:pPr>
      <w:r>
        <w:rPr/>
        <w:t>Title of the paper</w:t>
      </w:r>
    </w:p>
    <w:p>
      <w:pPr>
        <w:pStyle w:val="Normal"/>
        <w:jc w:val="left"/>
        <w:rPr/>
      </w:pPr>
      <w:r>
        <w:rPr>
          <w:rStyle w:val="Enfasiforte"/>
          <w:szCs w:val="28"/>
        </w:rPr>
        <w:t>Do not insert here the author(s)' name(s). Please insert the name(s) only in the appropriate field in the submission form on the JCOM web page. Please ensure that your file is formatted to include line numbering.</w:t>
      </w:r>
    </w:p>
    <w:p>
      <w:pPr>
        <w:pStyle w:val="Normal"/>
        <w:rPr/>
      </w:pPr>
      <w:r>
        <w:rPr/>
      </w:r>
    </w:p>
    <w:p>
      <w:pPr>
        <w:pStyle w:val="Normal"/>
        <w:rPr/>
      </w:pPr>
      <w:r>
        <w:rPr>
          <w:rStyle w:val="Enfasi"/>
          <w:smallCaps/>
        </w:rPr>
        <w:t>Abstract</w:t>
      </w:r>
      <w:r>
        <w:rPr>
          <w:rStyle w:val="Enfasi"/>
        </w:rPr>
        <w:t>: the abstract should provide the context or background for the study and state the purpose, basic methodology and procedures, main results and principal conclusions. It should also emphasize new and important aspects of the study or observations. Abstracts must be 50-100 words.</w:t>
      </w:r>
    </w:p>
    <w:p>
      <w:pPr>
        <w:pStyle w:val="Normal"/>
        <w:rPr/>
      </w:pPr>
      <w:r>
        <w:rPr/>
      </w:r>
    </w:p>
    <w:p>
      <w:pPr>
        <w:pStyle w:val="Normal"/>
        <w:rPr/>
      </w:pPr>
      <w:r>
        <w:rPr>
          <w:rStyle w:val="Enfasiforte"/>
        </w:rPr>
        <w:t>Keywords:</w:t>
      </w:r>
      <w:r>
        <w:rPr/>
        <w:t xml:space="preserve"> identify 1-3 keywords from the list on the submission web page that capture the main topics of the paper. Keyword not present in the list will be removed.</w:t>
      </w:r>
    </w:p>
    <w:p>
      <w:pPr>
        <w:pStyle w:val="Titolo1"/>
        <w:numPr>
          <w:ilvl w:val="0"/>
          <w:numId w:val="3"/>
        </w:numPr>
        <w:rPr/>
      </w:pPr>
      <w:r>
        <w:rPr/>
        <w:t>Title of the section section (same font size, bold)</w:t>
      </w:r>
    </w:p>
    <w:p>
      <w:pPr>
        <w:pStyle w:val="Normal"/>
        <w:rPr/>
      </w:pPr>
      <w:r>
        <w:rPr/>
        <w:t>If the submission is in the form of an article it should preferably be divided into sections with the headings such as: Context, Objective, Methods, Results, Discussion and Conclusions.</w:t>
      </w:r>
    </w:p>
    <w:p>
      <w:pPr>
        <w:pStyle w:val="Titolo2"/>
        <w:numPr>
          <w:ilvl w:val="1"/>
          <w:numId w:val="2"/>
        </w:numPr>
        <w:rPr/>
      </w:pPr>
      <w:r>
        <w:rPr/>
        <w:t>A subsection: notes (same font size, italics)</w:t>
      </w:r>
    </w:p>
    <w:p>
      <w:pPr>
        <w:pStyle w:val="Normal"/>
        <w:rPr/>
      </w:pPr>
      <w:r>
        <w:rPr/>
        <w:t xml:space="preserve">Only numbered text </w:t>
      </w:r>
      <w:r>
        <w:rPr>
          <w:rStyle w:val="Enfasi"/>
        </w:rPr>
        <w:t>notes</w:t>
      </w:r>
      <w:r>
        <w:rPr/>
        <w:t xml:space="preserve"> will be accepted;</w:t>
      </w:r>
      <w:r>
        <w:rPr>
          <w:rStyle w:val="Richiamoallanotaapidipagina"/>
        </w:rPr>
        <w:footnoteReference w:id="2"/>
      </w:r>
      <w:r>
        <w:rPr/>
        <w:t xml:space="preserve"> a source must be referred to in the text by an apex.</w:t>
      </w:r>
      <w:r>
        <w:rPr>
          <w:rStyle w:val="Richiamoallanotaapidipagina"/>
        </w:rPr>
        <w:footnoteReference w:id="3"/>
      </w:r>
      <w:r>
        <w:rPr/>
        <w:t xml:space="preserve"> Notes will be placed at the bottom of the page where they are cited.</w:t>
      </w:r>
    </w:p>
    <w:p>
      <w:pPr>
        <w:pStyle w:val="Titolo2"/>
        <w:numPr>
          <w:ilvl w:val="1"/>
          <w:numId w:val="2"/>
        </w:numPr>
        <w:rPr/>
      </w:pPr>
      <w:r>
        <w:rPr/>
        <w:t>Another subsection: figures and tables</w:t>
      </w:r>
    </w:p>
    <w:p>
      <w:pPr>
        <w:pStyle w:val="Normal"/>
        <w:rPr/>
      </w:pPr>
      <w:r>
        <w:rPr/>
        <w:t>Please number figures and tables sequentially in the text (Figure 1, Figure 2, Table 1, Figure 3, Table 2, …).</w:t>
      </w:r>
    </w:p>
    <w:p>
      <w:pPr>
        <w:pStyle w:val="Normal"/>
        <w:rPr/>
      </w:pPr>
      <w:r>
        <w:rPr/>
        <w:t xml:space="preserve">All figures and tables need to be referred to at the appropriate points in the text. </w:t>
      </w:r>
    </w:p>
    <w:p>
      <w:pPr>
        <w:pStyle w:val="Normal"/>
        <w:rPr/>
      </w:pPr>
      <w:r>
        <w:rPr/>
        <w:t>Capitalize all references to Tables and Figures, i.e., “...as shown in Figure 1”, or “See Table 2 below”.</w:t>
      </w:r>
    </w:p>
    <w:p>
      <w:pPr>
        <w:pStyle w:val="Normal"/>
        <w:rPr/>
      </w:pPr>
      <w:r>
        <w:rPr/>
        <w:t xml:space="preserve">A </w:t>
      </w:r>
      <w:r>
        <w:rPr>
          <w:rStyle w:val="Enfasi"/>
          <w:i w:val="false"/>
          <w:iCs w:val="false"/>
        </w:rPr>
        <w:t>caption</w:t>
      </w:r>
      <w:r>
        <w:rPr/>
        <w:t xml:space="preserve"> must accompany each figure and table (see Figure 1).</w:t>
      </w:r>
    </w:p>
    <w:p>
      <w:pPr>
        <w:pStyle w:val="Normal"/>
        <w:rPr/>
      </w:pPr>
      <w:r>
        <w:rPr/>
        <w:t xml:space="preserve">Use only standard abbreviations and units [International System of Units]. </w:t>
      </w:r>
    </w:p>
    <w:p>
      <w:pPr>
        <w:pStyle w:val="Normal"/>
        <w:rPr/>
      </w:pPr>
      <w:r>
        <w:rPr/>
      </w:r>
    </w:p>
    <w:p>
      <w:pPr>
        <w:pStyle w:val="Normal"/>
        <w:rPr/>
      </w:pPr>
      <w:r>
        <w:rPr/>
        <w:t>For typographical reasons, Figures and Tables may be moved during the typesetting phase at the bottom or top of the page where they are first cited.</w:t>
      </w:r>
    </w:p>
    <w:p>
      <w:pPr>
        <w:pStyle w:val="Normal"/>
        <w:rPr/>
      </w:pPr>
      <w:r>
        <w:rPr/>
        <mc:AlternateContent>
          <mc:Choice Requires="wps">
            <w:drawing>
              <wp:anchor behindDoc="0" distT="0" distB="0" distL="0" distR="0" simplePos="0" locked="0" layoutInCell="0" allowOverlap="1" relativeHeight="2" wp14:anchorId="2B19A661">
                <wp:simplePos x="0" y="0"/>
                <wp:positionH relativeFrom="column">
                  <wp:align>center</wp:align>
                </wp:positionH>
                <wp:positionV relativeFrom="paragraph">
                  <wp:posOffset>635</wp:posOffset>
                </wp:positionV>
                <wp:extent cx="5490845" cy="1268095"/>
                <wp:effectExtent l="0" t="0" r="0" b="0"/>
                <wp:wrapSquare wrapText="largest"/>
                <wp:docPr id="1" name="Frame1"/>
                <a:graphic xmlns:a="http://schemas.openxmlformats.org/drawingml/2006/main">
                  <a:graphicData uri="http://schemas.microsoft.com/office/word/2010/wordprocessingShape">
                    <wps:wsp>
                      <wps:cNvSpPr/>
                      <wps:spPr>
                        <a:xfrm>
                          <a:off x="0" y="0"/>
                          <a:ext cx="5490720" cy="1267920"/>
                        </a:xfrm>
                        <a:prstGeom prst="rect">
                          <a:avLst/>
                        </a:prstGeom>
                        <a:noFill/>
                        <a:ln w="0">
                          <a:noFill/>
                        </a:ln>
                      </wps:spPr>
                      <wps:style>
                        <a:lnRef idx="0"/>
                        <a:fillRef idx="0"/>
                        <a:effectRef idx="0"/>
                        <a:fontRef idx="minor"/>
                      </wps:style>
                      <wps:txbx>
                        <w:txbxContent>
                          <w:p>
                            <w:pPr>
                              <w:pStyle w:val="Figura"/>
                              <w:spacing w:before="120" w:after="120"/>
                              <w:rPr>
                                <w:color w:val="000000"/>
                              </w:rPr>
                            </w:pPr>
                            <w:r>
                              <w:rPr/>
                              <w:drawing>
                                <wp:inline distT="0" distB="0" distL="0" distR="0">
                                  <wp:extent cx="5488940" cy="98869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5488940" cy="988695"/>
                                          </a:xfrm>
                                          <a:prstGeom prst="rect">
                                            <a:avLst/>
                                          </a:prstGeom>
                                        </pic:spPr>
                                      </pic:pic>
                                    </a:graphicData>
                                  </a:graphic>
                                </wp:inline>
                              </w:drawing>
                            </w:r>
                            <w:r>
                              <w:rPr>
                                <w:color w:val="000000"/>
                              </w:rPr>
                              <w:br/>
                              <w:t xml:space="preserve">Figure </w:t>
                            </w:r>
                            <w:r>
                              <w:rPr>
                                <w:color w:val="000000"/>
                              </w:rPr>
                              <w:fldChar w:fldCharType="begin"/>
                            </w:r>
                            <w:r>
                              <w:rPr>
                                <w:color w:val="000000"/>
                              </w:rPr>
                              <w:instrText xml:space="preserve"> SEQ Figura \* ARABIC </w:instrText>
                            </w:r>
                            <w:r>
                              <w:rPr>
                                <w:color w:val="000000"/>
                              </w:rPr>
                              <w:fldChar w:fldCharType="separate"/>
                            </w:r>
                            <w:r>
                              <w:rPr>
                                <w:color w:val="000000"/>
                              </w:rPr>
                              <w:t>1</w:t>
                            </w:r>
                            <w:r>
                              <w:rPr>
                                <w:color w:val="000000"/>
                              </w:rPr>
                              <w:fldChar w:fldCharType="end"/>
                            </w:r>
                            <w:r>
                              <w:rPr>
                                <w:color w:val="000000"/>
                              </w:rPr>
                              <w:t>: New JCOM logo.</w:t>
                            </w:r>
                          </w:p>
                        </w:txbxContent>
                      </wps:txbx>
                      <wps:bodyPr lIns="0" rIns="0" tIns="0" bIns="0" anchor="t">
                        <a:noAutofit/>
                      </wps:bodyPr>
                    </wps:wsp>
                  </a:graphicData>
                </a:graphic>
              </wp:anchor>
            </w:drawing>
          </mc:Choice>
          <mc:Fallback>
            <w:pict>
              <v:rect id="shape_0" ID="Frame1" path="m0,0l-2147483645,0l-2147483645,-2147483646l0,-2147483646xe" stroked="f" o:allowincell="f" style="position:absolute;margin-left:10.55pt;margin-top:0.05pt;width:432.3pt;height:99.8pt;mso-wrap-style:square;v-text-anchor:top;mso-position-horizontal:center" wp14:anchorId="2B19A661">
                <v:fill o:detectmouseclick="t" on="false"/>
                <v:stroke color="#3465a4" joinstyle="round" endcap="flat"/>
                <v:textbox>
                  <w:txbxContent>
                    <w:p>
                      <w:pPr>
                        <w:pStyle w:val="Figura"/>
                        <w:spacing w:before="120" w:after="120"/>
                        <w:rPr>
                          <w:color w:val="000000"/>
                        </w:rPr>
                      </w:pPr>
                      <w:r>
                        <w:rPr/>
                        <w:drawing>
                          <wp:inline distT="0" distB="0" distL="0" distR="0">
                            <wp:extent cx="5488940" cy="98869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3"/>
                                    <a:stretch>
                                      <a:fillRect/>
                                    </a:stretch>
                                  </pic:blipFill>
                                  <pic:spPr bwMode="auto">
                                    <a:xfrm>
                                      <a:off x="0" y="0"/>
                                      <a:ext cx="5488940" cy="988695"/>
                                    </a:xfrm>
                                    <a:prstGeom prst="rect">
                                      <a:avLst/>
                                    </a:prstGeom>
                                  </pic:spPr>
                                </pic:pic>
                              </a:graphicData>
                            </a:graphic>
                          </wp:inline>
                        </w:drawing>
                      </w:r>
                      <w:r>
                        <w:rPr>
                          <w:color w:val="000000"/>
                        </w:rPr>
                        <w:br/>
                        <w:t xml:space="preserve">Figure </w:t>
                      </w:r>
                      <w:r>
                        <w:rPr>
                          <w:color w:val="000000"/>
                        </w:rPr>
                        <w:fldChar w:fldCharType="begin"/>
                      </w:r>
                      <w:r>
                        <w:rPr>
                          <w:color w:val="000000"/>
                        </w:rPr>
                        <w:instrText xml:space="preserve"> SEQ Figura \* ARABIC </w:instrText>
                      </w:r>
                      <w:r>
                        <w:rPr>
                          <w:color w:val="000000"/>
                        </w:rPr>
                        <w:fldChar w:fldCharType="separate"/>
                      </w:r>
                      <w:r>
                        <w:rPr>
                          <w:color w:val="000000"/>
                        </w:rPr>
                        <w:t>1</w:t>
                      </w:r>
                      <w:r>
                        <w:rPr>
                          <w:color w:val="000000"/>
                        </w:rPr>
                        <w:fldChar w:fldCharType="end"/>
                      </w:r>
                      <w:r>
                        <w:rPr>
                          <w:color w:val="000000"/>
                        </w:rPr>
                        <w:t>: New JCOM logo.</w:t>
                      </w:r>
                    </w:p>
                  </w:txbxContent>
                </v:textbox>
                <w10:wrap type="square" side="largest"/>
              </v:rect>
            </w:pict>
          </mc:Fallback>
        </mc:AlternateContent>
      </w:r>
    </w:p>
    <w:p>
      <w:pPr>
        <w:pStyle w:val="Caption"/>
        <w:jc w:val="both"/>
        <w:rPr/>
      </w:pPr>
      <w:r>
        <w:rPr/>
      </w:r>
    </w:p>
    <w:p>
      <w:pPr>
        <w:pStyle w:val="Titolo1"/>
        <w:numPr>
          <w:ilvl w:val="0"/>
          <w:numId w:val="2"/>
        </w:numPr>
        <w:rPr/>
      </w:pPr>
      <w:r>
        <w:rPr/>
        <w:t>References</w:t>
      </w:r>
    </w:p>
    <w:p>
      <w:pPr>
        <w:pStyle w:val="ListParagraph"/>
        <w:ind w:left="1176" w:hanging="298"/>
        <w:jc w:val="left"/>
        <w:rPr/>
      </w:pPr>
      <w:r>
        <w:rPr/>
        <w:t xml:space="preserve">Callwood, K.A., Weiss, M., Hendricks, R. &amp; Taylor, T.G. (2022). Acknowledging and supplanting white supremacy culture in science communication and STEM: the role of science communication trainers. </w:t>
      </w:r>
      <w:r>
        <w:rPr>
          <w:i/>
          <w:iCs/>
        </w:rPr>
        <w:t>Frontiers in Communication</w:t>
      </w:r>
      <w:r>
        <w:rPr/>
        <w:t xml:space="preserve"> 7, 787750. doi:10.3389/fcomm.2022.787750</w:t>
      </w:r>
    </w:p>
    <w:p>
      <w:pPr>
        <w:pStyle w:val="ListParagraph"/>
        <w:ind w:left="1176" w:hanging="298"/>
        <w:jc w:val="left"/>
        <w:rPr/>
      </w:pPr>
      <w:r>
        <w:rPr/>
        <w:t>Dawson, E. (2018). Reimagining publics and (non) participation: exploring</w:t>
      </w:r>
    </w:p>
    <w:p>
      <w:pPr>
        <w:pStyle w:val="ListParagraph"/>
        <w:ind w:left="1176" w:hanging="298"/>
        <w:jc w:val="left"/>
        <w:rPr/>
      </w:pPr>
      <w:r>
        <w:rPr/>
        <w:t>exclusion from science communication through the experiences of</w:t>
      </w:r>
    </w:p>
    <w:p>
      <w:pPr>
        <w:pStyle w:val="ListParagraph"/>
        <w:ind w:left="1176" w:hanging="298"/>
        <w:jc w:val="left"/>
        <w:rPr/>
      </w:pPr>
      <w:r>
        <w:rPr/>
        <w:t xml:space="preserve">low-income, minority ethnic groups. </w:t>
      </w:r>
      <w:r>
        <w:rPr>
          <w:i/>
          <w:iCs/>
        </w:rPr>
        <w:t>Public Understanding of Science</w:t>
      </w:r>
      <w:r>
        <w:rPr/>
        <w:t xml:space="preserve"> 27 (7),</w:t>
      </w:r>
    </w:p>
    <w:p>
      <w:pPr>
        <w:pStyle w:val="ListParagraph"/>
        <w:ind w:left="1176" w:hanging="298"/>
        <w:jc w:val="left"/>
        <w:rPr/>
      </w:pPr>
      <w:r>
        <w:rPr/>
        <w:t>772–786. doi:10.1177/0963662517750072</w:t>
      </w:r>
    </w:p>
    <w:p>
      <w:pPr>
        <w:pStyle w:val="ListParagraph"/>
        <w:ind w:left="1176" w:hanging="298"/>
        <w:jc w:val="left"/>
        <w:rPr/>
      </w:pPr>
      <w:r>
        <w:rPr/>
        <w:t xml:space="preserve">DiAngelo, R. (2016). White fragility. In What does it mean to be white? Developing white racial literacy (pp. 245–253). </w:t>
      </w:r>
    </w:p>
    <w:p>
      <w:pPr>
        <w:pStyle w:val="ListParagraph"/>
        <w:ind w:left="1176" w:hanging="298"/>
        <w:jc w:val="left"/>
        <w:rPr/>
      </w:pPr>
      <w:r>
        <w:rPr/>
        <w:tab/>
        <w:t>doi:10.3726/978-1-4539-1848-7</w:t>
      </w:r>
    </w:p>
    <w:p>
      <w:pPr>
        <w:pStyle w:val="ListParagraph"/>
        <w:ind w:left="1176" w:hanging="298"/>
        <w:jc w:val="left"/>
        <w:rPr/>
      </w:pPr>
      <w:r>
        <w:rPr/>
        <w:t>Vanmeerbeek, P., Vigneron, L., Delvenne, P., Rosskamp, B. &amp; Antoine, M. (2015). Involvement of end-users in innovation process: towards a user-driven approach of innovation — a qualitative analysis of 20 livings labs. In Proceedings of the European network of living labs, research day conference, OpenLivingLab days (pp. 79–86). Retrieved from https://hdl.handle.net/2268/183928</w:t>
      </w:r>
    </w:p>
    <w:p>
      <w:pPr>
        <w:pStyle w:val="ListParagraph"/>
        <w:ind w:left="1176" w:hanging="298"/>
        <w:jc w:val="left"/>
        <w:rPr/>
      </w:pPr>
      <w:r>
        <w:rPr/>
        <w:t xml:space="preserve">Veeckman, C. &amp; van der Graaf, S. (2015). The city as living laboratory: empowering citizens with the citadel toolkit. </w:t>
      </w:r>
      <w:r>
        <w:rPr>
          <w:i/>
          <w:iCs/>
        </w:rPr>
        <w:t>Technology Innovation Management Review</w:t>
      </w:r>
      <w:r>
        <w:rPr/>
        <w:t xml:space="preserve"> 5 (3), 6–17. doi:10.22215/timreview/877</w:t>
      </w:r>
    </w:p>
    <w:p>
      <w:pPr>
        <w:pStyle w:val="ListParagraph"/>
        <w:rPr/>
      </w:pPr>
      <w:r>
        <w:rPr/>
      </w:r>
    </w:p>
    <w:p>
      <w:pPr>
        <w:pStyle w:val="Normal"/>
        <w:rPr/>
      </w:pPr>
      <w:r>
        <w:rPr/>
        <w:t xml:space="preserve">References should follow APA6 style, </w:t>
      </w:r>
      <w:r>
        <w:rPr/>
        <w:t xml:space="preserve">and should </w:t>
      </w:r>
      <w:r>
        <w:rPr/>
        <w:t xml:space="preserve">preferably </w:t>
      </w:r>
      <w:r>
        <w:rPr/>
        <w:t xml:space="preserve">include </w:t>
      </w:r>
      <w:r>
        <w:rPr/>
        <w:t xml:space="preserve">a </w:t>
      </w:r>
      <w:r>
        <w:rPr/>
        <w:t>DOI</w:t>
      </w:r>
      <w:r>
        <w:rPr/>
        <w:t xml:space="preserve"> or a </w:t>
      </w:r>
      <w:r>
        <w:rPr/>
        <w:t>link to a</w:t>
      </w:r>
      <w:r>
        <w:rPr/>
        <w:t xml:space="preserve"> public webpage (</w:t>
      </w:r>
      <w:r>
        <w:rPr/>
        <w:t>i</w:t>
      </w:r>
      <w:r>
        <w:rPr/>
        <w:t>.</w:t>
      </w:r>
      <w:r>
        <w:rPr/>
        <w:t>e</w:t>
      </w:r>
      <w:r>
        <w:rPr/>
        <w:t>. without an authentication wall). Citations in the text must be in the form [Author(s), year] (e.g.  [Calzada &amp; Cobo, 2015; Jazeel, 2015]).</w:t>
      </w:r>
    </w:p>
    <w:p>
      <w:pPr>
        <w:pStyle w:val="Titolo1"/>
        <w:numPr>
          <w:ilvl w:val="0"/>
          <w:numId w:val="2"/>
        </w:numPr>
        <w:rPr>
          <w:highlight w:val="yellow"/>
        </w:rPr>
      </w:pPr>
      <w:r>
        <w:rPr/>
        <w:t>Authors</w:t>
      </w:r>
    </w:p>
    <w:p>
      <w:pPr>
        <w:pStyle w:val="Normal"/>
        <w:rPr>
          <w:highlight w:val="yellow"/>
        </w:rPr>
      </w:pPr>
      <w:r>
        <w:rPr/>
        <w:t>Please do not write anything here.</w:t>
      </w:r>
    </w:p>
    <w:p>
      <w:pPr>
        <w:pStyle w:val="Normal"/>
        <w:rPr/>
      </w:pPr>
      <w:r>
        <w:rPr/>
        <w:t>This section will be filled during the typesetting phase with the information provided in the Author Biographies field.</w:t>
      </w:r>
    </w:p>
    <w:sectPr>
      <w:footnotePr>
        <w:numFmt w:val="decimal"/>
      </w:footnotePr>
      <w:type w:val="nextPage"/>
      <w:pgSz w:w="11906" w:h="16838"/>
      <w:pgMar w:left="1418" w:right="1418" w:gutter="0" w:header="0" w:top="1418" w:footer="0" w:bottom="1134"/>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erif">
    <w:altName w:val="Times New Roman"/>
    <w:charset w:val="01"/>
    <w:family w:val="swiss"/>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pPr>
      <w:r>
        <w:rPr>
          <w:rStyle w:val="Caratterinotaapidipagina"/>
        </w:rPr>
        <w:footnoteRef/>
      </w:r>
      <w:r>
        <w:rPr>
          <w:vertAlign w:val="superscript"/>
        </w:rPr>
        <w:tab/>
        <w:tab/>
        <w:t xml:space="preserve"> </w:t>
      </w:r>
      <w:r>
        <w:rPr/>
        <w:t>This is the first footnote.</w:t>
      </w:r>
    </w:p>
  </w:footnote>
  <w:footnote w:id="3">
    <w:p>
      <w:pPr>
        <w:pStyle w:val="Notaapidipagina"/>
        <w:rPr/>
      </w:pPr>
      <w:r>
        <w:rPr>
          <w:rStyle w:val="Caratterinotaapidipagina"/>
        </w:rPr>
        <w:footnoteRef/>
      </w:r>
      <w:r>
        <w:rPr>
          <w:rFonts w:eastAsia="Times New Roman"/>
          <w:vertAlign w:val="superscript"/>
        </w:rPr>
        <w:tab/>
        <w:tab/>
        <w:t xml:space="preserve"> </w:t>
      </w:r>
      <w:r>
        <w:rPr/>
        <w:t>Like this.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isplayBackgroundShape/>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13cc"/>
    <w:pPr>
      <w:widowControl/>
      <w:suppressAutoHyphens w:val="true"/>
      <w:bidi w:val="0"/>
      <w:spacing w:lineRule="auto" w:line="276" w:before="0" w:after="0"/>
      <w:jc w:val="both"/>
    </w:pPr>
    <w:rPr>
      <w:rFonts w:ascii="Arial" w:hAnsi="Arial" w:eastAsia="Noto Sans CJK SC Regular" w:cs="FreeSans"/>
      <w:color w:val="auto"/>
      <w:kern w:val="0"/>
      <w:sz w:val="24"/>
      <w:szCs w:val="24"/>
      <w:lang w:val="en-US" w:eastAsia="zh-CN" w:bidi="hi-IN"/>
    </w:rPr>
  </w:style>
  <w:style w:type="paragraph" w:styleId="Titolo1">
    <w:name w:val="Heading 1"/>
    <w:basedOn w:val="Normal"/>
    <w:next w:val="Normal"/>
    <w:qFormat/>
    <w:rsid w:val="006d4c0a"/>
    <w:pPr>
      <w:keepNext w:val="true"/>
      <w:keepLines/>
      <w:numPr>
        <w:ilvl w:val="0"/>
        <w:numId w:val="1"/>
      </w:numPr>
      <w:spacing w:before="360" w:after="120"/>
      <w:outlineLvl w:val="0"/>
    </w:pPr>
    <w:rPr>
      <w:rFonts w:eastAsia="Times New Roman"/>
      <w:b/>
      <w:bCs/>
      <w:szCs w:val="28"/>
    </w:rPr>
  </w:style>
  <w:style w:type="paragraph" w:styleId="Titolo2">
    <w:name w:val="Heading 2"/>
    <w:basedOn w:val="Normal"/>
    <w:next w:val="Normal"/>
    <w:qFormat/>
    <w:pPr>
      <w:keepNext w:val="true"/>
      <w:keepLines/>
      <w:numPr>
        <w:ilvl w:val="1"/>
        <w:numId w:val="1"/>
      </w:numPr>
      <w:spacing w:before="240" w:after="120"/>
      <w:outlineLvl w:val="1"/>
    </w:pPr>
    <w:rPr>
      <w:rFonts w:eastAsia="Times New Roman"/>
      <w:bCs/>
      <w:i/>
      <w:szCs w:val="26"/>
    </w:rPr>
  </w:style>
  <w:style w:type="paragraph" w:styleId="Titolo3">
    <w:name w:val="Heading 3"/>
    <w:basedOn w:val="Titolo"/>
    <w:qFormat/>
    <w:pPr>
      <w:widowControl w:val="false"/>
      <w:jc w:val="left"/>
      <w:outlineLvl w:val="2"/>
    </w:pPr>
    <w:rPr>
      <w:rFonts w:ascii="Liberation Serif" w:hAnsi="Liberation Serif"/>
      <w:color w:val="00000A"/>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TitleChar" w:customStyle="1">
    <w:name w:val="Title Char"/>
    <w:qFormat/>
    <w:rPr>
      <w:rFonts w:ascii="Times New Roman" w:hAnsi="Times New Roman" w:eastAsia="Times New Roman" w:cs="Times New Roman"/>
      <w:spacing w:val="5"/>
      <w:sz w:val="52"/>
      <w:szCs w:val="52"/>
    </w:rPr>
  </w:style>
  <w:style w:type="character" w:styleId="Enfasiforte" w:customStyle="1">
    <w:name w:val="Enfasi forte"/>
    <w:qFormat/>
    <w:rsid w:val="004413cc"/>
    <w:rPr>
      <w:rFonts w:ascii="Arial" w:hAnsi="Arial"/>
      <w:b/>
      <w:bCs/>
      <w:sz w:val="28"/>
    </w:rPr>
  </w:style>
  <w:style w:type="character" w:styleId="Enfasi" w:customStyle="1">
    <w:name w:val="Enfasi"/>
    <w:qFormat/>
    <w:rsid w:val="004413cc"/>
    <w:rPr>
      <w:rFonts w:ascii="Arial" w:hAnsi="Arial"/>
      <w:i/>
      <w:iCs/>
      <w:sz w:val="24"/>
    </w:rPr>
  </w:style>
  <w:style w:type="character" w:styleId="Heading1Char" w:customStyle="1">
    <w:name w:val="Heading 1 Char"/>
    <w:qFormat/>
    <w:rPr>
      <w:rFonts w:ascii="Times New Roman" w:hAnsi="Times New Roman" w:eastAsia="Times New Roman" w:cs="Times New Roman"/>
      <w:b/>
      <w:bCs/>
      <w:sz w:val="24"/>
      <w:szCs w:val="28"/>
    </w:rPr>
  </w:style>
  <w:style w:type="character" w:styleId="Heading2Char" w:customStyle="1">
    <w:name w:val="Heading 2 Char"/>
    <w:qFormat/>
    <w:rPr>
      <w:rFonts w:ascii="Times New Roman" w:hAnsi="Times New Roman" w:eastAsia="Times New Roman" w:cs="Times New Roman"/>
      <w:bCs/>
      <w:i/>
      <w:sz w:val="24"/>
      <w:szCs w:val="26"/>
    </w:rPr>
  </w:style>
  <w:style w:type="character" w:styleId="Collegamentoipertestuale1" w:customStyle="1">
    <w:name w:val="Collegamento ipertestuale1"/>
    <w:qFormat/>
    <w:rPr>
      <w:color w:val="0000FF"/>
      <w:u w:val="single"/>
    </w:rPr>
  </w:style>
  <w:style w:type="character" w:styleId="FootnoteTextChar" w:customStyle="1">
    <w:name w:val="Footnote Text Char"/>
    <w:qFormat/>
    <w:rPr>
      <w:rFonts w:ascii="Times New Roman" w:hAnsi="Times New Roman" w:cs="Times New Roman"/>
      <w:sz w:val="20"/>
      <w:szCs w:val="20"/>
    </w:rPr>
  </w:style>
  <w:style w:type="character" w:styleId="FootnoteCharacters" w:customStyle="1">
    <w:name w:val="Footnote Characters"/>
    <w:qFormat/>
    <w:rPr>
      <w:vertAlign w:val="superscript"/>
    </w:rPr>
  </w:style>
  <w:style w:type="character" w:styleId="BalloonTextChar" w:customStyle="1">
    <w:name w:val="Balloon Text Char"/>
    <w:qFormat/>
    <w:rPr>
      <w:rFonts w:ascii="Tahoma" w:hAnsi="Tahoma" w:cs="Tahoma"/>
      <w:sz w:val="16"/>
      <w:szCs w:val="16"/>
    </w:rPr>
  </w:style>
  <w:style w:type="character" w:styleId="FootnoteAnchor" w:customStyle="1">
    <w:name w:val="Footnote Anchor"/>
    <w:qFormat/>
    <w:rPr>
      <w:vertAlign w:val="superscript"/>
    </w:rPr>
  </w:style>
  <w:style w:type="character" w:styleId="EndnoteCharacters" w:customStyle="1">
    <w:name w:val="Endnote Characters"/>
    <w:qFormat/>
    <w:rPr>
      <w:vertAlign w:val="superscript"/>
    </w:rPr>
  </w:style>
  <w:style w:type="character" w:styleId="WWEndnoteCharacters" w:customStyle="1">
    <w:name w:val="WW-Endnote Characters"/>
    <w:qFormat/>
    <w:rPr/>
  </w:style>
  <w:style w:type="character" w:styleId="EndnoteAnchor" w:customStyle="1">
    <w:name w:val="Endnote Anchor"/>
    <w:qFormat/>
    <w:rPr>
      <w:vertAlign w:val="superscript"/>
    </w:rPr>
  </w:style>
  <w:style w:type="character" w:styleId="CollegamentoInternet" w:customStyle="1">
    <w:name w:val="Collegamento Internet"/>
    <w:qFormat/>
    <w:rPr>
      <w:color w:val="000080"/>
      <w:u w:val="single"/>
    </w:rPr>
  </w:style>
  <w:style w:type="character" w:styleId="Caratterenotaapidipagina" w:customStyle="1">
    <w:name w:val="Carattere nota a piè di pagina"/>
    <w:qFormat/>
    <w:rPr/>
  </w:style>
  <w:style w:type="character" w:styleId="Richiamoallanotaapidipagina" w:customStyle="1">
    <w:name w:val="Richiamo alla nota a piè di pagina"/>
    <w:qFormat/>
    <w:rPr>
      <w:vertAlign w:val="superscript"/>
    </w:rPr>
  </w:style>
  <w:style w:type="character" w:styleId="Richiamoallanotadichiusura" w:customStyle="1">
    <w:name w:val="Richiamo alla nota di chiusura"/>
    <w:qFormat/>
    <w:rPr>
      <w:vertAlign w:val="superscript"/>
    </w:rPr>
  </w:style>
  <w:style w:type="character" w:styleId="Caratterenotadichiusura" w:customStyle="1">
    <w:name w:val="Carattere nota di chiusura"/>
    <w:qFormat/>
    <w:rPr/>
  </w:style>
  <w:style w:type="character" w:styleId="Linenumber">
    <w:name w:val="line number"/>
    <w:basedOn w:val="DefaultParagraphFont"/>
    <w:uiPriority w:val="99"/>
    <w:semiHidden/>
    <w:unhideWhenUsed/>
    <w:qFormat/>
    <w:rsid w:val="00152771"/>
    <w:rPr/>
  </w:style>
  <w:style w:type="character" w:styleId="LineNumbering">
    <w:name w:val="Line Numbering"/>
    <w:qFormat/>
    <w:rPr/>
  </w:style>
  <w:style w:type="character" w:styleId="Caratterinotaapidipagina">
    <w:name w:val="Caratteri nota a piè di pagina"/>
    <w:qFormat/>
    <w:rPr/>
  </w:style>
  <w:style w:type="character" w:styleId="Numerazionerighe">
    <w:name w:val="Numerazione righe"/>
    <w:rPr/>
  </w:style>
  <w:style w:type="character" w:styleId="Caratterinotadichiusura">
    <w:name w:val="Caratteri nota di chiusura"/>
    <w:qFormat/>
    <w:rPr/>
  </w:style>
  <w:style w:type="paragraph" w:styleId="Titolo" w:customStyle="1">
    <w:name w:val="Titolo"/>
    <w:basedOn w:val="Normal"/>
    <w:next w:val="Corpodeltesto"/>
    <w:qFormat/>
    <w:pPr>
      <w:keepNext w:val="true"/>
      <w:spacing w:before="240" w:after="120"/>
    </w:pPr>
    <w:rPr>
      <w:rFonts w:ascii="Liberation Sans" w:hAnsi="Liberation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style>
  <w:style w:type="paragraph" w:styleId="Caption">
    <w:name w:val="caption"/>
    <w:basedOn w:val="Normal"/>
    <w:next w:val="Normal"/>
    <w:qFormat/>
    <w:pPr>
      <w:spacing w:lineRule="auto" w:line="240" w:before="240" w:after="240"/>
      <w:jc w:val="center"/>
    </w:pPr>
    <w:rPr>
      <w:b/>
      <w:bCs/>
      <w:sz w:val="20"/>
      <w:szCs w:val="18"/>
    </w:rPr>
  </w:style>
  <w:style w:type="paragraph" w:styleId="Titolo11" w:customStyle="1">
    <w:name w:val="Titolo1"/>
    <w:basedOn w:val="Normal"/>
    <w:next w:val="Normal"/>
    <w:qFormat/>
    <w:rsid w:val="004413cc"/>
    <w:pPr>
      <w:spacing w:lineRule="auto" w:line="240" w:before="0" w:after="480"/>
      <w:contextualSpacing/>
      <w:jc w:val="center"/>
    </w:pPr>
    <w:rPr>
      <w:rFonts w:eastAsia="Times New Roman"/>
      <w:spacing w:val="5"/>
      <w:sz w:val="52"/>
      <w:szCs w:val="52"/>
    </w:rPr>
  </w:style>
  <w:style w:type="paragraph" w:styleId="StyleEndnotetextRight025cm" w:customStyle="1">
    <w:name w:val="Style Endnotetext + Right:  025 cm"/>
    <w:basedOn w:val="Normal"/>
    <w:qFormat/>
    <w:pPr>
      <w:widowControl w:val="false"/>
      <w:spacing w:lineRule="auto" w:line="240"/>
      <w:ind w:right="142" w:firstLine="113"/>
    </w:pPr>
    <w:rPr>
      <w:rFonts w:eastAsia="Times New Roman"/>
      <w:sz w:val="20"/>
      <w:szCs w:val="20"/>
    </w:rPr>
  </w:style>
  <w:style w:type="paragraph" w:styleId="Notaapidipagina">
    <w:name w:val="Footnote Text"/>
    <w:basedOn w:val="Normal"/>
    <w:pPr/>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spacing w:lineRule="auto" w:line="240"/>
    </w:pPr>
    <w:rPr>
      <w:rFonts w:ascii="Tahoma" w:hAnsi="Tahoma" w:cs="Tahoma"/>
      <w:sz w:val="16"/>
      <w:szCs w:val="16"/>
    </w:rPr>
  </w:style>
  <w:style w:type="paragraph" w:styleId="Testocitato" w:customStyle="1">
    <w:name w:val="Testo citato"/>
    <w:basedOn w:val="Normal"/>
    <w:qFormat/>
    <w:pPr/>
    <w:rPr/>
  </w:style>
  <w:style w:type="paragraph" w:styleId="Titoloprincipale">
    <w:name w:val="Title"/>
    <w:basedOn w:val="Titolo11"/>
    <w:qFormat/>
    <w:pPr/>
    <w:rPr/>
  </w:style>
  <w:style w:type="paragraph" w:styleId="Sottotitolo">
    <w:name w:val="Subtitle"/>
    <w:basedOn w:val="Titolo11"/>
    <w:qFormat/>
    <w:pPr/>
    <w:rPr/>
  </w:style>
  <w:style w:type="paragraph" w:styleId="Revision">
    <w:name w:val="Revision"/>
    <w:uiPriority w:val="99"/>
    <w:semiHidden/>
    <w:qFormat/>
    <w:rsid w:val="002303aa"/>
    <w:pPr>
      <w:widowControl/>
      <w:suppressAutoHyphens w:val="true"/>
      <w:bidi w:val="0"/>
      <w:spacing w:before="0" w:after="0"/>
      <w:jc w:val="left"/>
    </w:pPr>
    <w:rPr>
      <w:rFonts w:ascii="Times New Roman" w:hAnsi="Times New Roman" w:eastAsia="Calibri" w:cs="Times New Roman"/>
      <w:color w:val="00000A"/>
      <w:kern w:val="0"/>
      <w:sz w:val="24"/>
      <w:szCs w:val="22"/>
      <w:lang w:val="it-IT" w:eastAsia="zh-CN" w:bidi="ar-SA"/>
    </w:rPr>
  </w:style>
  <w:style w:type="paragraph" w:styleId="Figura" w:customStyle="1">
    <w:name w:val="Figura"/>
    <w:basedOn w:val="Caption"/>
    <w:qFormat/>
    <w:pPr/>
    <w:rPr/>
  </w:style>
  <w:style w:type="paragraph" w:styleId="FrameContents" w:customStyle="1">
    <w:name w:val="Frame Contents"/>
    <w:basedOn w:val="Normal"/>
    <w:qFormat/>
    <w:pPr/>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CDDCC-3D88-468C-99F3-372D1989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2</Pages>
  <Words>538</Words>
  <Characters>2959</Characters>
  <CharactersWithSpaces>3474</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2019-02-11T08:53:00Z</dcterms:created>
  <dc:creator>delbianco</dc:creator>
  <dc:description/>
  <dc:language>en-US</dc:language>
  <cp:lastModifiedBy/>
  <cp:lastPrinted>2013-12-05T11:16:00Z</cp:lastPrinted>
  <dcterms:modified xsi:type="dcterms:W3CDTF">2023-07-31T09:00:09Z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