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numPr>
          <w:ilvl w:val="1"/>
          <w:numId w:val="1"/>
        </w:numPr>
        <w:spacing w:lineRule="auto" w:line="480" w:before="240" w:after="120"/>
        <w:jc w:val="center"/>
        <w:rPr>
          <w:rFonts w:cs="Calibri Light" w:cstheme="majorAscii"/>
        </w:rPr>
      </w:pPr>
      <w:bookmarkStart w:id="0" w:name="_Toc209704908"/>
      <w:r>
        <w:rPr>
          <w:rFonts w:cs="Calibri Light" w:cstheme="majorAscii"/>
        </w:rPr>
        <w:t>Appendix A. Selected news factors</w:t>
      </w:r>
      <w:bookmarkEnd w:id="0"/>
    </w:p>
    <w:p>
      <w:pPr>
        <w:pStyle w:val="Normal"/>
        <w:spacing w:lineRule="auto" w:line="480"/>
        <w:rPr>
          <w:rFonts w:ascii="Calibri Light" w:hAnsi="Calibri Light" w:cs="Calibri Light" w:asciiTheme="majorHAnsi" w:cstheme="majorHAnsi" w:hAnsiTheme="majorHAnsi"/>
          <w:b/>
          <w:bCs/>
        </w:rPr>
      </w:pPr>
      <w:r>
        <w:rPr>
          <w:rFonts w:cs="Calibri Light" w:ascii="Calibri Light" w:hAnsi="Calibri Light" w:asciiTheme="majorHAnsi" w:cstheme="majorHAnsi" w:hAnsiTheme="majorHAnsi"/>
          <w:b/>
          <w:bCs/>
        </w:rPr>
        <w:t>Table A1</w:t>
      </w:r>
    </w:p>
    <w:p>
      <w:pPr>
        <w:pStyle w:val="Normal"/>
        <w:spacing w:lineRule="auto" w:line="276"/>
        <w:rPr/>
      </w:pPr>
      <w:r>
        <w:rPr>
          <w:rFonts w:cs="Calibri Light" w:ascii="Calibri Light" w:hAnsi="Calibri Light" w:asciiTheme="majorAscii" w:cstheme="majorAscii" w:hAnsiTheme="majorAscii"/>
          <w:i/>
          <w:iCs/>
        </w:rPr>
        <w:t>Textual news factors and their definitions applied in this study. Definitions are adapted from the source mentioned in the last column.</w:t>
      </w:r>
    </w:p>
    <w:p>
      <w:pPr>
        <w:pStyle w:val="Normal"/>
        <w:spacing w:lineRule="auto" w:line="276"/>
        <w:rPr>
          <w:rFonts w:ascii="Calibri Light" w:hAnsi="Calibri Light" w:cs="Calibri Light" w:asciiTheme="majorAscii" w:cstheme="majorAscii" w:hAnsiTheme="majorAscii"/>
        </w:rPr>
      </w:pPr>
      <w:r>
        <w:rPr>
          <w:i w:val="false"/>
          <w:iCs w:val="false"/>
        </w:rPr>
      </w:r>
    </w:p>
    <w:tbl>
      <w:tblPr>
        <w:tblStyle w:val="PlainTable2"/>
        <w:tblW w:w="90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35"/>
        <w:gridCol w:w="4980"/>
        <w:gridCol w:w="2160"/>
      </w:tblGrid>
      <w:tr>
        <w:trPr>
          <w:trHeight w:val="28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Ascii" w:cstheme="majorAscii" w:hAnsiTheme="majorAscii"/>
                <w:b/>
                <w:bCs/>
                <w:lang w:eastAsia="nl-NL"/>
              </w:rPr>
              <w:t>News factor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lang w:eastAsia="nl-NL"/>
              </w:rPr>
              <w:t>Definition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lang w:eastAsia="nl-NL"/>
              </w:rPr>
              <w:t>Source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Surprise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Stories featuring unexpected, unusual, or surprising elements that contrast with common beliefs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2011; Harcup &amp; O’Neill, 2001</w:t>
            </w:r>
          </w:p>
        </w:tc>
      </w:tr>
      <w:tr>
        <w:trPr>
          <w:trHeight w:val="287" w:hRule="atLeast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Controversy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Stories involving disputes, disagreements, or conflicts, particularly when differing parties maintain opposing views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2011; Harcup &amp; O’Neill, 2017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Economic relevance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Importance of an event concerning economic impact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</w:t>
            </w:r>
          </w:p>
        </w:tc>
      </w:tr>
      <w:tr>
        <w:trPr>
          <w:trHeight w:val="287" w:hRule="atLeast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Political relevance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Importance of an event concerning politics or legislation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Societal relevance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Importance of an event for society, particularly regarding its effects or consequences on the public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</w:t>
            </w:r>
          </w:p>
        </w:tc>
      </w:tr>
      <w:tr>
        <w:trPr>
          <w:trHeight w:val="287" w:hRule="atLeast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Scientific relevance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Importance of an event for scientific progress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Audio-visual material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Availability of images, figures or graphics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2011; Harcup &amp; O’Neill, 2001</w:t>
            </w:r>
          </w:p>
        </w:tc>
      </w:tr>
      <w:tr>
        <w:trPr>
          <w:trHeight w:val="287" w:hRule="atLeast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Personalization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Reference to persons (citizens), providing a personal or 'human' aspect to an event or issue, including eyewitness reports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2011; Caple &amp; Bednarek, 2016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 xml:space="preserve">Range  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Number of people involved or affected by the event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2011; Harcup &amp; O’Neill, 2001</w:t>
            </w:r>
          </w:p>
        </w:tc>
      </w:tr>
      <w:tr>
        <w:trPr>
          <w:trHeight w:val="287" w:hRule="atLeast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 xml:space="preserve">Magnitude / Superlativeness 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The scope or scale of the event or issue itself, regardless of how many people are impacted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Caple &amp; Bednarek, 2016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Eliteness (person)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Stories concerning powerful individuals, typically associated with high status due to their role or authority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2011; Harcup &amp; O’Neill, 2001; Caple &amp; Bednarek, 2016</w:t>
            </w:r>
          </w:p>
        </w:tc>
      </w:tr>
      <w:tr>
        <w:trPr>
          <w:trHeight w:val="287" w:hRule="atLeast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Eliteness (region)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Stories concerning powerful individuals, regions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2011; Harcup &amp; O’Neill, 2001; Caple &amp; Bednarek, 2016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Eliteness (organization/institution)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Stories concerning powerful organizations or institutions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2011; Harcup &amp; O’Neill, 2001; Caple &amp; Bednarek, 2016</w:t>
            </w:r>
          </w:p>
        </w:tc>
      </w:tr>
      <w:tr>
        <w:trPr>
          <w:trHeight w:val="287" w:hRule="atLeast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Eliteness (journal)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Stories concerning powerful scientific journals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Vonk et al., 2024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 xml:space="preserve">Actuality 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The timeliness of an event, indicating its recency, ongoing nature, upcoming occurrence, or seasonal relevance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2011; Caple &amp; Bednarek, 2016</w:t>
            </w:r>
          </w:p>
        </w:tc>
      </w:tr>
      <w:tr>
        <w:trPr>
          <w:trHeight w:val="287" w:hRule="atLeast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Novelty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The new and/or unexpected aspects of an event or issue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2011; Caple &amp; Bednarek, 2016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Celebrity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Stories concerning people who are already famous, primarily for their public persona or media presence, regardless of their actual power or influence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Harcup &amp; O’Neill, 2001</w:t>
            </w:r>
          </w:p>
        </w:tc>
      </w:tr>
      <w:tr>
        <w:trPr>
          <w:trHeight w:val="287" w:hRule="atLeast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Entertainment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Stories designed to amuse or engage the audience, often involving elements like sex, show business, human interest, animals, unfolding drama, humor, or opportunities for entertaining visuals and headlines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Harcup &amp; O’Neill, 2001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Negativity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Stories with negative overtones, such as conflict, tragedy, or problems, emphasizing adverse aspects of an event or issue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Harcup &amp; O’Neill, 2001; Caple &amp; Bednarek, 2016</w:t>
            </w:r>
          </w:p>
        </w:tc>
      </w:tr>
      <w:tr>
        <w:trPr>
          <w:trHeight w:val="287" w:hRule="atLeast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Positivity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Stories with positive overtones, such as rescues, cures, or successes, highlighting beneficial aspects of an event or issue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Harcup &amp; O’Neill, 2001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Follow-up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Stories that provide updates or additional information on subjects already in the news, continuing the coverage of ongoing events or issues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Harcup &amp; O’Neill, 2001</w:t>
            </w:r>
          </w:p>
        </w:tc>
      </w:tr>
      <w:tr>
        <w:trPr>
          <w:trHeight w:val="287" w:hRule="atLeast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Emotional appeal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themeColor="text1" w:val="000000"/>
                <w:lang w:eastAsia="nl-NL"/>
              </w:rPr>
              <w:t>Content containing words and phrases intended to elicit specific emotions, such as anger, sadness, hope, or fear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Nowak-Teter &amp; Łódzki, 2024; Brown et al., 2020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Humor or satire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Stories that include humor and satire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Nowak-Teter &amp; Łódzki, 2024</w:t>
            </w:r>
          </w:p>
        </w:tc>
      </w:tr>
      <w:tr>
        <w:trPr>
          <w:trHeight w:val="287" w:hRule="atLeast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Practical utility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The text provides information that is useful for individuals, offering practical tips, tools, or actions that can be immediately implemented in everyday life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García-Perdomo et al., 2018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Drama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Stories involving unfolding events with heightened tension or conflict, such as escapes, accidents, searches, sieges, rescues, battles, or court cases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Harcup &amp; O’Neill, 2017</w:t>
            </w:r>
          </w:p>
        </w:tc>
      </w:tr>
      <w:tr>
        <w:trPr>
          <w:trHeight w:val="287" w:hRule="atLeast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Proximity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The geographical or cultural nearness of an event or issue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Badenschier &amp; Wormer, 2011; Caple &amp; Bednarek, 2016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3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Consonance</w:t>
            </w:r>
          </w:p>
        </w:tc>
        <w:tc>
          <w:tcPr>
            <w:tcW w:w="498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The alignment of a story with socially shared norms, values, attitudes, or stereotypes </w:t>
            </w:r>
          </w:p>
        </w:tc>
        <w:tc>
          <w:tcPr>
            <w:tcW w:w="2160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</w:tcPr>
          <w:p>
            <w:pPr>
              <w:pStyle w:val="Normal"/>
              <w:widowControl/>
              <w:spacing w:lineRule="auto" w:line="276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Caple &amp; Bednarek, 2016</w:t>
            </w:r>
          </w:p>
        </w:tc>
      </w:tr>
    </w:tbl>
    <w:p>
      <w:pPr>
        <w:pStyle w:val="Normal"/>
        <w:spacing w:lineRule="auto" w:line="276"/>
        <w:rPr/>
      </w:pPr>
      <w:r>
        <w:rPr>
          <w:rFonts w:cs="Calibri Light" w:ascii="Calibri Light" w:hAnsi="Calibri Light" w:asciiTheme="majorHAnsi" w:cstheme="majorHAnsi" w:hAnsiTheme="majorHAnsi"/>
          <w:i/>
          <w:iCs/>
        </w:rPr>
        <w:t xml:space="preserve">Note. </w:t>
      </w:r>
      <w:r>
        <w:rPr>
          <w:rFonts w:cs="Calibri Light" w:ascii="Calibri Light" w:hAnsi="Calibri Light" w:asciiTheme="majorHAnsi" w:cstheme="majorHAnsi" w:hAnsiTheme="majorHAnsi"/>
        </w:rPr>
        <w:t>The definitions in this table are adapted from the sources indicated in the “Source” column.</w:t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Cs/>
        </w:rPr>
      </w:pPr>
      <w:r>
        <w:rPr>
          <w:rFonts w:cs="Calibri Light" w:cstheme="majorHAnsi" w:ascii="Calibri Light" w:hAnsi="Calibri Light"/>
          <w:b/>
          <w:bCs/>
        </w:rPr>
      </w:r>
      <w:r>
        <w:br w:type="page"/>
      </w:r>
    </w:p>
    <w:p>
      <w:pPr>
        <w:pStyle w:val="Normal"/>
        <w:spacing w:lineRule="auto" w:line="480" w:before="0" w:after="0"/>
        <w:rPr>
          <w:rFonts w:ascii="Calibri Light" w:hAnsi="Calibri Light" w:cs="Calibri Light" w:asciiTheme="majorHAnsi" w:cstheme="majorHAnsi" w:hAnsiTheme="majorHAnsi"/>
          <w:b/>
          <w:bCs/>
        </w:rPr>
      </w:pPr>
      <w:r>
        <w:rPr>
          <w:rFonts w:cs="Calibri Light" w:ascii="Calibri Light" w:hAnsi="Calibri Light" w:asciiTheme="majorHAnsi" w:cstheme="majorHAnsi" w:hAnsiTheme="majorHAnsi"/>
          <w:b/>
          <w:bCs/>
        </w:rPr>
        <w:t>Table A2</w:t>
      </w:r>
    </w:p>
    <w:p>
      <w:pPr>
        <w:pStyle w:val="Normal"/>
        <w:spacing w:lineRule="auto" w:line="276"/>
        <w:rPr/>
      </w:pPr>
      <w:r>
        <w:rPr>
          <w:rFonts w:cs="Calibri Light" w:ascii="Calibri Light" w:hAnsi="Calibri Light" w:asciiTheme="majorAscii" w:cstheme="majorAscii" w:hAnsiTheme="majorAscii"/>
          <w:i/>
          <w:iCs/>
        </w:rPr>
        <w:t>Visual news factors and their definitions applied in this study. Definitions are taken from the source mentioned in the last column.</w:t>
      </w:r>
    </w:p>
    <w:p>
      <w:pPr>
        <w:pStyle w:val="Normal"/>
        <w:spacing w:lineRule="auto" w:line="276"/>
        <w:rPr>
          <w:rFonts w:ascii="Calibri Light" w:hAnsi="Calibri Light" w:cs="Calibri Light" w:asciiTheme="majorAscii" w:cstheme="majorAscii" w:hAnsiTheme="majorAscii"/>
        </w:rPr>
      </w:pPr>
      <w:r>
        <w:rPr>
          <w:i w:val="false"/>
          <w:iCs w:val="false"/>
        </w:rPr>
      </w:r>
    </w:p>
    <w:tbl>
      <w:tblPr>
        <w:tblStyle w:val="PlainTable2"/>
        <w:tblW w:w="91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0"/>
        <w:gridCol w:w="4995"/>
        <w:gridCol w:w="2192"/>
      </w:tblGrid>
      <w:tr>
        <w:trPr>
          <w:trHeight w:val="28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lineRule="auto" w:line="276" w:before="0" w:after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Ascii" w:cstheme="majorAscii" w:hAnsiTheme="majorAscii"/>
                <w:b/>
                <w:bCs/>
                <w:lang w:eastAsia="nl-NL"/>
              </w:rPr>
              <w:t>News factor</w:t>
            </w:r>
          </w:p>
        </w:tc>
        <w:tc>
          <w:tcPr>
            <w:tcW w:w="4995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lineRule="auto" w:line="276"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lang w:eastAsia="nl-NL"/>
              </w:rPr>
              <w:t>Definition</w:t>
            </w:r>
          </w:p>
        </w:tc>
        <w:tc>
          <w:tcPr>
            <w:tcW w:w="2192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lineRule="auto" w:line="276"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lang w:eastAsia="nl-NL"/>
              </w:rPr>
              <w:t>Source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5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Type of graphical material</w:t>
            </w:r>
          </w:p>
        </w:tc>
        <w:tc>
          <w:tcPr>
            <w:tcW w:w="4995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The type of visual content, categorized by its nature and purpose (e.g. scientific infographics, portraits, impact depictions or illustrations)</w:t>
            </w:r>
          </w:p>
        </w:tc>
        <w:tc>
          <w:tcPr>
            <w:tcW w:w="2192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Created by author</w:t>
            </w:r>
          </w:p>
        </w:tc>
      </w:tr>
      <w:tr>
        <w:trPr>
          <w:trHeight w:val="287" w:hRule="atLeast"/>
        </w:trPr>
        <w:tc>
          <w:tcPr>
            <w:tcW w:w="195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 xml:space="preserve">Negativity </w:t>
            </w:r>
          </w:p>
        </w:tc>
        <w:tc>
          <w:tcPr>
            <w:tcW w:w="4995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Showing the negative aspects of an event or issue</w:t>
            </w:r>
          </w:p>
        </w:tc>
        <w:tc>
          <w:tcPr>
            <w:tcW w:w="2192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Caple &amp; Bednarek, 2016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5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Positivity</w:t>
            </w:r>
          </w:p>
        </w:tc>
        <w:tc>
          <w:tcPr>
            <w:tcW w:w="4995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Showing the positive aspects of an event or issue</w:t>
            </w:r>
          </w:p>
        </w:tc>
        <w:tc>
          <w:tcPr>
            <w:tcW w:w="2192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Caple et al., 2020</w:t>
            </w:r>
          </w:p>
        </w:tc>
      </w:tr>
      <w:tr>
        <w:trPr>
          <w:trHeight w:val="287" w:hRule="atLeast"/>
        </w:trPr>
        <w:tc>
          <w:tcPr>
            <w:tcW w:w="195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 xml:space="preserve">Timeliness </w:t>
            </w:r>
          </w:p>
        </w:tc>
        <w:tc>
          <w:tcPr>
            <w:tcW w:w="4995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Showing the relevance of an event or issue in terms of time: recent, ongoing, about to happen or seasonal</w:t>
            </w:r>
          </w:p>
        </w:tc>
        <w:tc>
          <w:tcPr>
            <w:tcW w:w="2192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Caple &amp; Bednarek, 2016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5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 xml:space="preserve">Proximity </w:t>
            </w:r>
          </w:p>
        </w:tc>
        <w:tc>
          <w:tcPr>
            <w:tcW w:w="4995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Showing the geographical or cultural nearness of an event or issue</w:t>
            </w:r>
          </w:p>
        </w:tc>
        <w:tc>
          <w:tcPr>
            <w:tcW w:w="2192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Caple &amp; Bednarek, 2016</w:t>
            </w:r>
          </w:p>
        </w:tc>
      </w:tr>
      <w:tr>
        <w:trPr>
          <w:trHeight w:val="287" w:hRule="atLeast"/>
        </w:trPr>
        <w:tc>
          <w:tcPr>
            <w:tcW w:w="195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 xml:space="preserve">Superlativeness </w:t>
            </w:r>
          </w:p>
        </w:tc>
        <w:tc>
          <w:tcPr>
            <w:tcW w:w="4995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Showing the large scope or scale of an event or issue</w:t>
            </w:r>
          </w:p>
        </w:tc>
        <w:tc>
          <w:tcPr>
            <w:tcW w:w="2192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Caple &amp; Bednarek, 2016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5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 xml:space="preserve">Eliteness </w:t>
            </w:r>
          </w:p>
        </w:tc>
        <w:tc>
          <w:tcPr>
            <w:tcW w:w="4995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Showing the high status of individuals, organisations or nations involved in  an event or issue</w:t>
            </w:r>
          </w:p>
        </w:tc>
        <w:tc>
          <w:tcPr>
            <w:tcW w:w="2192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Caple &amp; Bednarek, 2016</w:t>
            </w:r>
          </w:p>
        </w:tc>
      </w:tr>
      <w:tr>
        <w:trPr>
          <w:trHeight w:val="287" w:hRule="atLeast"/>
        </w:trPr>
        <w:tc>
          <w:tcPr>
            <w:tcW w:w="195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 xml:space="preserve">Impact </w:t>
            </w:r>
          </w:p>
        </w:tc>
        <w:tc>
          <w:tcPr>
            <w:tcW w:w="4995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 xml:space="preserve">Showing the high significance of an event or issue </w:t>
            </w:r>
          </w:p>
          <w:p>
            <w:pPr>
              <w:pStyle w:val="Normal"/>
              <w:widowControl/>
              <w:spacing w:lineRule="auto" w:line="276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in terms of its effects/ consequences</w:t>
            </w:r>
          </w:p>
        </w:tc>
        <w:tc>
          <w:tcPr>
            <w:tcW w:w="2192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Caple &amp; Bednarek, 2016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5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 xml:space="preserve">Novelty </w:t>
            </w:r>
          </w:p>
        </w:tc>
        <w:tc>
          <w:tcPr>
            <w:tcW w:w="4995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Showing the new and/or unexpected aspects  of an event or issue</w:t>
            </w:r>
          </w:p>
        </w:tc>
        <w:tc>
          <w:tcPr>
            <w:tcW w:w="2192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Caple &amp; Bednarek, 2016</w:t>
            </w:r>
          </w:p>
        </w:tc>
      </w:tr>
      <w:tr>
        <w:trPr>
          <w:trHeight w:val="287" w:hRule="atLeast"/>
        </w:trPr>
        <w:tc>
          <w:tcPr>
            <w:tcW w:w="195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Personalization</w:t>
            </w:r>
          </w:p>
        </w:tc>
        <w:tc>
          <w:tcPr>
            <w:tcW w:w="4995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Showing the personal or ‘human’ face of an event or issue, including eyewitness reports</w:t>
            </w:r>
          </w:p>
        </w:tc>
        <w:tc>
          <w:tcPr>
            <w:tcW w:w="2192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Caple &amp; Bednarek, 2016</w:t>
            </w:r>
          </w:p>
        </w:tc>
      </w:tr>
      <w:tr>
        <w:trPr>
          <w:trHeight w:val="28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5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 xml:space="preserve">Consonance </w:t>
            </w:r>
          </w:p>
        </w:tc>
        <w:tc>
          <w:tcPr>
            <w:tcW w:w="4995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Showing the stereotypical aspects of an event  or issue; adherence  to expectations</w:t>
            </w:r>
          </w:p>
        </w:tc>
        <w:tc>
          <w:tcPr>
            <w:tcW w:w="2192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Caple &amp; Bednarek, 2016</w:t>
            </w:r>
          </w:p>
        </w:tc>
      </w:tr>
      <w:tr>
        <w:trPr>
          <w:trHeight w:val="287" w:hRule="atLeast"/>
        </w:trPr>
        <w:tc>
          <w:tcPr>
            <w:tcW w:w="195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</w:tcPr>
          <w:p>
            <w:pPr>
              <w:pStyle w:val="Normal"/>
              <w:widowControl/>
              <w:spacing w:lineRule="auto" w:line="276" w:before="0" w:after="0"/>
              <w:rPr>
                <w:b/>
                <w:bCs/>
              </w:rPr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b/>
                <w:bCs/>
                <w:color w:val="000000"/>
                <w:lang w:eastAsia="nl-NL"/>
              </w:rPr>
              <w:t>Aesthetic appeal</w:t>
            </w:r>
          </w:p>
        </w:tc>
        <w:tc>
          <w:tcPr>
            <w:tcW w:w="4995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Showing the aesthetically pleasing aspects of an event or issue</w:t>
            </w:r>
          </w:p>
        </w:tc>
        <w:tc>
          <w:tcPr>
            <w:tcW w:w="2192" w:type="dxa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</w:tcPr>
          <w:p>
            <w:pPr>
              <w:pStyle w:val="Normal"/>
              <w:widowControl/>
              <w:spacing w:lineRule="auto" w:line="276"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>
                <w:rFonts w:eastAsia="Times New Roman" w:cs="Calibri Light" w:ascii="Calibri Light" w:hAnsi="Calibri Light" w:asciiTheme="majorHAnsi" w:cstheme="majorHAnsi" w:hAnsiTheme="majorHAnsi"/>
                <w:color w:val="000000"/>
                <w:lang w:eastAsia="nl-NL"/>
              </w:rPr>
              <w:t>Caple &amp; Bednarek, 2016</w:t>
            </w:r>
          </w:p>
        </w:tc>
      </w:tr>
    </w:tbl>
    <w:p>
      <w:pPr>
        <w:pStyle w:val="Normal"/>
        <w:spacing w:lineRule="auto" w:line="276"/>
        <w:rPr/>
      </w:pPr>
      <w:r>
        <w:rPr>
          <w:rFonts w:cs="Calibri Light" w:ascii="Calibri Light" w:hAnsi="Calibri Light" w:asciiTheme="majorHAnsi" w:cstheme="majorHAnsi" w:hAnsiTheme="majorHAnsi"/>
          <w:i/>
          <w:iCs/>
        </w:rPr>
        <w:t xml:space="preserve">Note. </w:t>
      </w:r>
      <w:r>
        <w:rPr>
          <w:rFonts w:cs="Calibri Light" w:ascii="Calibri Light" w:hAnsi="Calibri Light" w:asciiTheme="majorHAnsi" w:cstheme="majorHAnsi" w:hAnsiTheme="majorHAnsi"/>
        </w:rPr>
        <w:t>The definitions in this table are reproduced verbatim from the sources indicated in the “Source” column.</w:t>
      </w:r>
    </w:p>
    <w:sectPr>
      <w:type w:val="nextPage"/>
      <w:pgSz w:w="11906" w:h="16838"/>
      <w:pgMar w:left="1418" w:right="1418" w:gutter="0" w:header="0" w:top="1418" w:footer="0" w:bottom="1134"/>
      <w:lnNumType w:countBy="1" w:restart="continuous" w:distance="28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Liberation Sans">
    <w:altName w:val="Arial"/>
    <w:charset w:val="01"/>
    <w:family w:val="swiss"/>
    <w:pitch w:val="variable"/>
  </w:font>
  <w:font w:name="Calibri Light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76eb"/>
    <w:pPr>
      <w:widowControl/>
      <w:suppressAutoHyphens w:val="true"/>
      <w:bidi w:val="0"/>
      <w:spacing w:lineRule="auto" w:line="276" w:before="0" w:after="0"/>
      <w:jc w:val="both"/>
    </w:pPr>
    <w:rPr>
      <w:rFonts w:ascii="Arial" w:hAnsi="Arial" w:eastAsia="Noto Sans CJK SC Regular" w:cs="FreeSans"/>
      <w:color w:val="auto"/>
      <w:kern w:val="0"/>
      <w:sz w:val="24"/>
      <w:szCs w:val="24"/>
      <w:lang w:val="en-US"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d76eb"/>
    <w:pPr>
      <w:keepNext w:val="true"/>
      <w:keepLines/>
      <w:numPr>
        <w:ilvl w:val="0"/>
        <w:numId w:val="1"/>
      </w:numPr>
      <w:spacing w:before="360" w:after="120"/>
      <w:outlineLvl w:val="0"/>
    </w:pPr>
    <w:rPr>
      <w:rFonts w:eastAsia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qFormat/>
    <w:rsid w:val="001d76eb"/>
    <w:pPr>
      <w:keepNext w:val="true"/>
      <w:keepLines/>
      <w:numPr>
        <w:ilvl w:val="1"/>
        <w:numId w:val="1"/>
      </w:numPr>
      <w:spacing w:before="240" w:after="120"/>
      <w:outlineLvl w:val="1"/>
    </w:pPr>
    <w:rPr>
      <w:rFonts w:eastAsia="Times New Roman"/>
      <w:bCs/>
      <w:i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qFormat/>
    <w:rsid w:val="001d76eb"/>
    <w:rPr>
      <w:rFonts w:ascii="Arial" w:hAnsi="Arial" w:eastAsia="Times New Roman" w:cs="FreeSans"/>
      <w:b/>
      <w:bCs/>
      <w:kern w:val="0"/>
      <w:sz w:val="24"/>
      <w:szCs w:val="28"/>
      <w:lang w:val="en-US" w:eastAsia="zh-CN" w:bidi="hi-IN"/>
      <w14:ligatures w14:val="none"/>
    </w:rPr>
  </w:style>
  <w:style w:type="character" w:styleId="Heading2Char" w:customStyle="1">
    <w:name w:val="Heading 2 Char"/>
    <w:basedOn w:val="DefaultParagraphFont"/>
    <w:link w:val="Heading2"/>
    <w:qFormat/>
    <w:rsid w:val="001d76eb"/>
    <w:rPr>
      <w:rFonts w:ascii="Arial" w:hAnsi="Arial" w:eastAsia="Times New Roman" w:cs="FreeSans"/>
      <w:bCs/>
      <w:i/>
      <w:kern w:val="0"/>
      <w:sz w:val="24"/>
      <w:szCs w:val="26"/>
      <w:lang w:val="en-US" w:eastAsia="zh-CN" w:bidi="hi-I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d76eb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Arial" w:hAnsi="Arial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Arial Unicode MS"/>
    </w:rPr>
  </w:style>
  <w:style w:type="paragraph" w:styleId="ListParagraph">
    <w:name w:val="List Paragraph"/>
    <w:basedOn w:val="Normal"/>
    <w:uiPriority w:val="34"/>
    <w:qFormat/>
    <w:rsid w:val="001d76eb"/>
    <w:pPr>
      <w:spacing w:before="0" w:after="0"/>
      <w:ind w:left="720"/>
      <w:contextualSpacing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basedOn w:val="TableNormal"/>
    <w:uiPriority w:val="42"/>
    <w:rsid w:val="001d76eb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LibreOffice/24.2.7.2$Linux_X86_64 LibreOffice_project/420$Build-2</Application>
  <AppVersion>15.0000</AppVersion>
  <Pages>4</Pages>
  <Words>888</Words>
  <Characters>5122</Characters>
  <CharactersWithSpaces>5916</CharactersWithSpaces>
  <Paragraphs>131</Paragraphs>
  <Company>Utrecht University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2026-02-10T10:56:00Z</dcterms:created>
  <dc:creator>Bos, M.J.W. (Mark)</dc:creator>
  <dc:description/>
  <dc:language>en-US</dc:language>
  <cp:lastModifiedBy/>
  <dcterms:modified xsi:type="dcterms:W3CDTF">2026-08-14T20:02:30Z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